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F1C9" w14:textId="77777777" w:rsidR="009214F3" w:rsidRPr="009214F3" w:rsidRDefault="009214F3" w:rsidP="009214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PROGRAMA </w:t>
      </w:r>
      <w:r w:rsidR="00B964A1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PRIMERA PARTE </w:t>
      </w:r>
      <w:r w:rsidRPr="009214F3">
        <w:rPr>
          <w:rFonts w:ascii="Calibri" w:eastAsia="Times New Roman" w:hAnsi="Calibri" w:cs="Times New Roman"/>
          <w:b/>
          <w:sz w:val="20"/>
          <w:szCs w:val="20"/>
          <w:lang w:eastAsia="es-ES"/>
        </w:rPr>
        <w:t>DEL CURSO SEMIPRESENCIAL DE COMERCIO INTERNACIONAL</w:t>
      </w:r>
    </w:p>
    <w:p w14:paraId="68488974" w14:textId="77777777" w:rsidR="009214F3" w:rsidRPr="009214F3" w:rsidRDefault="009214F3" w:rsidP="009214F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41CE1463" w14:textId="1E2EBEB0" w:rsidR="009214F3" w:rsidRPr="009214F3" w:rsidRDefault="00B25394" w:rsidP="009214F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(15</w:t>
      </w:r>
      <w:r w:rsidR="00124B75">
        <w:rPr>
          <w:rFonts w:ascii="Calibri" w:eastAsia="Times New Roman" w:hAnsi="Calibri" w:cs="Times New Roman"/>
          <w:sz w:val="20"/>
          <w:szCs w:val="20"/>
          <w:lang w:eastAsia="es-ES"/>
        </w:rPr>
        <w:t>6</w:t>
      </w:r>
      <w:r w:rsidR="00C927E2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horas: 13</w:t>
      </w:r>
      <w:r w:rsidR="00026D6C">
        <w:rPr>
          <w:rFonts w:ascii="Calibri" w:eastAsia="Times New Roman" w:hAnsi="Calibri" w:cs="Times New Roman"/>
          <w:sz w:val="20"/>
          <w:szCs w:val="20"/>
          <w:lang w:eastAsia="es-ES"/>
        </w:rPr>
        <w:t xml:space="preserve">0 online y </w:t>
      </w:r>
      <w:r w:rsidR="00B964A1">
        <w:rPr>
          <w:rFonts w:ascii="Calibri" w:eastAsia="Times New Roman" w:hAnsi="Calibri" w:cs="Times New Roman"/>
          <w:sz w:val="20"/>
          <w:szCs w:val="20"/>
          <w:lang w:eastAsia="es-ES"/>
        </w:rPr>
        <w:t>2</w:t>
      </w:r>
      <w:r w:rsidR="00124B75">
        <w:rPr>
          <w:rFonts w:ascii="Calibri" w:eastAsia="Times New Roman" w:hAnsi="Calibri" w:cs="Times New Roman"/>
          <w:sz w:val="20"/>
          <w:szCs w:val="20"/>
          <w:lang w:eastAsia="es-ES"/>
        </w:rPr>
        <w:t>6</w:t>
      </w:r>
      <w:bookmarkStart w:id="0" w:name="_GoBack"/>
      <w:bookmarkEnd w:id="0"/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presenciales)</w:t>
      </w:r>
    </w:p>
    <w:p w14:paraId="19F0ED5D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4ACEC2A1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790D7D04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1581FD30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1.- INTRODUCCIÓN AL COMERCIO INTERNACIONAL:</w:t>
      </w:r>
    </w:p>
    <w:p w14:paraId="36DAE24B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1.1.- Territorio Aduanero  y Área de Libre comercio.</w:t>
      </w:r>
    </w:p>
    <w:p w14:paraId="06283882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1.1.1.- Historia del comercio internacional.</w:t>
      </w:r>
    </w:p>
    <w:p w14:paraId="500C7DDC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1.1.2.- Tratados y negociaciones multilaterales entre Estados.</w:t>
      </w:r>
    </w:p>
    <w:p w14:paraId="0A454854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1.1.3.- RTAS, “Regional Trade Agreements”.</w:t>
      </w:r>
    </w:p>
    <w:p w14:paraId="1EF4651B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1.1.4.- Áreas de libre comercio y zonas especiales.</w:t>
      </w:r>
    </w:p>
    <w:p w14:paraId="20D78531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1.1.5.- Anexos.</w:t>
      </w:r>
    </w:p>
    <w:p w14:paraId="071D6E1D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14:paraId="0F1602B0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2.- INCOTERMS 2010: fijación de precios internacionales.</w:t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14:paraId="5A71DD99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2.1.- Análisis pormenorizado de los INCOTERMS 2000.</w:t>
      </w:r>
    </w:p>
    <w:p w14:paraId="5D4F113E" w14:textId="77777777" w:rsid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2.2.- INCOTERMS 2010.</w:t>
      </w:r>
    </w:p>
    <w:p w14:paraId="3D556F7C" w14:textId="77777777" w:rsidR="00DE62EB" w:rsidRDefault="00DE62EB" w:rsidP="00DE62EB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 xml:space="preserve">2.3.- Consejos de uso </w:t>
      </w:r>
    </w:p>
    <w:p w14:paraId="11A2BA79" w14:textId="77777777" w:rsidR="00DE62EB" w:rsidRPr="00DE62EB" w:rsidRDefault="00DE62EB" w:rsidP="00DE62EB">
      <w:pPr>
        <w:pStyle w:val="Firmadecorreoelectrnico"/>
        <w:ind w:firstLine="708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>3.4.- Errores más frecuentes.</w:t>
      </w:r>
    </w:p>
    <w:p w14:paraId="2AD85FF1" w14:textId="77777777" w:rsidR="009214F3" w:rsidRPr="009214F3" w:rsidRDefault="00DE62EB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2.5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.- Anexos.</w:t>
      </w:r>
    </w:p>
    <w:p w14:paraId="49E56BEE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016A58F7" w14:textId="77777777" w:rsidR="009214F3" w:rsidRPr="009214F3" w:rsidRDefault="009214F3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3.- </w:t>
      </w:r>
      <w:r w:rsidR="00DE62EB">
        <w:rPr>
          <w:rFonts w:ascii="Calibri" w:eastAsia="Times New Roman" w:hAnsi="Calibri" w:cs="Times New Roman"/>
          <w:sz w:val="20"/>
          <w:szCs w:val="20"/>
          <w:lang w:eastAsia="es-ES"/>
        </w:rPr>
        <w:t>GESTIÓN ADUANERA</w:t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:</w:t>
      </w:r>
    </w:p>
    <w:p w14:paraId="67E3A47D" w14:textId="77777777"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3.1.- Marco normativo: análisis y manejo del TARIC</w:t>
      </w:r>
    </w:p>
    <w:p w14:paraId="232A486C" w14:textId="77777777"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3.1.1.- Partidas arancelarias: reglas para su determinación.</w:t>
      </w:r>
    </w:p>
    <w:p w14:paraId="28292397" w14:textId="77777777"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3.1.2.- Aranceles.</w:t>
      </w:r>
    </w:p>
    <w:p w14:paraId="4D470EDA" w14:textId="77777777"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3.1.3.- Contingentes y suspensiones arancelarias.</w:t>
      </w:r>
    </w:p>
    <w:p w14:paraId="3A11A779" w14:textId="77777777"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3.1.4.- Criterios sobre el origen de las mercancías.</w:t>
      </w:r>
    </w:p>
    <w:p w14:paraId="5252A479" w14:textId="77777777"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3.2.- Despacho Aduanero</w:t>
      </w:r>
    </w:p>
    <w:p w14:paraId="477C95CA" w14:textId="77777777"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3.2.1.- Fases en la tramitación de los despachos.</w:t>
      </w:r>
    </w:p>
    <w:p w14:paraId="118B4C70" w14:textId="77777777"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3.2.2.- Sujetos participantes: operador económico autorizado.</w:t>
      </w:r>
    </w:p>
    <w:p w14:paraId="2800274D" w14:textId="77777777" w:rsidR="009214F3" w:rsidRDefault="009214F3" w:rsidP="00026D6C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ab/>
        <w:t>3.2.3.- Documentación de exportación/ importación.</w:t>
      </w:r>
    </w:p>
    <w:p w14:paraId="28F07ACF" w14:textId="77777777" w:rsidR="00026D6C" w:rsidRPr="00026D6C" w:rsidRDefault="00026D6C" w:rsidP="00026D6C">
      <w:pPr>
        <w:spacing w:after="0" w:line="240" w:lineRule="auto"/>
        <w:ind w:firstLine="708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026D6C">
        <w:rPr>
          <w:rFonts w:ascii="Calibri" w:eastAsia="Times New Roman" w:hAnsi="Calibri" w:cs="Times New Roman"/>
          <w:sz w:val="20"/>
          <w:szCs w:val="20"/>
          <w:lang w:eastAsia="es-ES"/>
        </w:rPr>
        <w:t>3.3.- Operaciones intracomunitarias</w:t>
      </w:r>
    </w:p>
    <w:p w14:paraId="2CA415C4" w14:textId="77777777" w:rsidR="00026D6C" w:rsidRPr="00026D6C" w:rsidRDefault="00026D6C" w:rsidP="00026D6C">
      <w:pPr>
        <w:spacing w:after="0" w:line="240" w:lineRule="auto"/>
        <w:ind w:left="708" w:firstLine="708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026D6C">
        <w:rPr>
          <w:rFonts w:ascii="Calibri" w:eastAsia="Times New Roman" w:hAnsi="Calibri" w:cs="Times New Roman"/>
          <w:sz w:val="20"/>
          <w:szCs w:val="20"/>
          <w:lang w:eastAsia="es-ES"/>
        </w:rPr>
        <w:t>3.3.1.- Intrastat.</w:t>
      </w:r>
    </w:p>
    <w:p w14:paraId="2DE3CD61" w14:textId="77777777" w:rsidR="00026D6C" w:rsidRPr="00026D6C" w:rsidRDefault="00026D6C" w:rsidP="00026D6C">
      <w:pPr>
        <w:spacing w:after="0" w:line="240" w:lineRule="auto"/>
        <w:ind w:left="708" w:firstLine="708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026D6C">
        <w:rPr>
          <w:rFonts w:ascii="Calibri" w:eastAsia="Times New Roman" w:hAnsi="Calibri" w:cs="Times New Roman"/>
          <w:sz w:val="20"/>
          <w:szCs w:val="20"/>
          <w:lang w:eastAsia="es-ES"/>
        </w:rPr>
        <w:t>3.3.2.- T2L y T2M.</w:t>
      </w:r>
    </w:p>
    <w:p w14:paraId="174ADF87" w14:textId="77777777" w:rsidR="009214F3" w:rsidRPr="009214F3" w:rsidRDefault="009214F3" w:rsidP="00026D6C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2E6DF6FD" w14:textId="77777777" w:rsidR="009214F3" w:rsidRPr="009214F3" w:rsidRDefault="009214F3" w:rsidP="009214F3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4.- FISCALIDAD INTERNACIONAL: </w:t>
      </w:r>
    </w:p>
    <w:p w14:paraId="4BA9238C" w14:textId="77777777" w:rsidR="009214F3" w:rsidRDefault="009214F3" w:rsidP="009214F3">
      <w:pPr>
        <w:spacing w:after="0" w:line="240" w:lineRule="auto"/>
        <w:ind w:left="708" w:firstLine="1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4.1.- Impuesto Aduanero: </w:t>
      </w:r>
      <w:r w:rsidR="00896452">
        <w:rPr>
          <w:rFonts w:ascii="Calibri" w:eastAsia="Times New Roman" w:hAnsi="Calibri" w:cs="Times New Roman"/>
          <w:sz w:val="20"/>
          <w:szCs w:val="20"/>
          <w:lang w:eastAsia="es-ES"/>
        </w:rPr>
        <w:t>valor en aduanas</w:t>
      </w:r>
      <w:r w:rsidRPr="009214F3">
        <w:rPr>
          <w:rFonts w:ascii="Calibri" w:eastAsia="Times New Roman" w:hAnsi="Calibri" w:cs="Times New Roman"/>
          <w:sz w:val="20"/>
          <w:szCs w:val="20"/>
          <w:lang w:eastAsia="es-ES"/>
        </w:rPr>
        <w:t>.</w:t>
      </w:r>
    </w:p>
    <w:p w14:paraId="32C59152" w14:textId="77777777"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>4.2.- Impuesto sobre el Valor Añadido (IVA)</w:t>
      </w:r>
    </w:p>
    <w:p w14:paraId="6064BA00" w14:textId="77777777"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4.2.1.- Conceptos generales sobre el IVA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14:paraId="13406938" w14:textId="77777777"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4.2.2.- El IVA en las operaciones con terceros países</w:t>
      </w:r>
      <w:r w:rsidR="004F336B">
        <w:rPr>
          <w:rFonts w:asciiTheme="minorHAnsi" w:hAnsiTheme="minorHAnsi"/>
          <w:sz w:val="20"/>
          <w:szCs w:val="20"/>
          <w:lang w:eastAsia="es-ES"/>
        </w:rPr>
        <w:t>:</w:t>
      </w:r>
    </w:p>
    <w:p w14:paraId="29114D4E" w14:textId="77777777"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4.2.2.1.- Exportación de bienes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14:paraId="17CF7983" w14:textId="77777777"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4.2.2.2.- Operaciones asimiladas a las exportaciones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14:paraId="0D7557B5" w14:textId="77777777"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4.2.2.3.- Operaciones vinculadas a las exportaciones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14:paraId="69B2684F" w14:textId="77777777"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  <w:t xml:space="preserve">       </w:t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4.2.2.4.- Tax free y duty free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14:paraId="7C588952" w14:textId="77777777"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4.2.2.5.- Exportación de servicios</w:t>
      </w:r>
      <w:r w:rsidR="004F336B">
        <w:rPr>
          <w:rFonts w:asciiTheme="minorHAnsi" w:hAnsiTheme="minorHAnsi"/>
          <w:sz w:val="20"/>
          <w:szCs w:val="20"/>
          <w:lang w:eastAsia="es-ES"/>
        </w:rPr>
        <w:t>.</w:t>
      </w:r>
    </w:p>
    <w:p w14:paraId="6B98FAD5" w14:textId="77777777" w:rsidR="00896452" w:rsidRDefault="00896452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4.2.2.6.- Importación de bienes.</w:t>
      </w:r>
    </w:p>
    <w:p w14:paraId="66DBBAE2" w14:textId="77777777"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4.2.2.7.- Importación por un Estado Miembro distinto del país de entrada.</w:t>
      </w:r>
    </w:p>
    <w:p w14:paraId="169D5389" w14:textId="77777777"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4.2.3.- IVA en las operaciones intracomunitarias:</w:t>
      </w:r>
    </w:p>
    <w:p w14:paraId="2C9A63AC" w14:textId="77777777"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4.2.3.1.- Entregas y adquisiciones intracomunitarias de bienes.</w:t>
      </w:r>
    </w:p>
    <w:p w14:paraId="39EE7A1A" w14:textId="77777777"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4.2.3.2.- Ventas online entre países de la UE.</w:t>
      </w:r>
    </w:p>
    <w:p w14:paraId="0CCF0F44" w14:textId="77777777"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4.2.3.3.- Tributación de los servicios intracomunitarios.</w:t>
      </w:r>
    </w:p>
    <w:p w14:paraId="7E8952AE" w14:textId="77777777"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ab/>
        <w:t>4.2.3.4.- Recuperación de IVAs soportados en otros países: modelos 360 y 361</w:t>
      </w:r>
    </w:p>
    <w:p w14:paraId="7535D924" w14:textId="77777777" w:rsidR="004F336B" w:rsidRDefault="004F336B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 w:rsidR="00DE62EB">
        <w:rPr>
          <w:rFonts w:asciiTheme="minorHAnsi" w:hAnsiTheme="minorHAnsi"/>
          <w:sz w:val="20"/>
          <w:szCs w:val="20"/>
          <w:lang w:eastAsia="es-ES"/>
        </w:rPr>
        <w:tab/>
      </w:r>
      <w:r>
        <w:rPr>
          <w:rFonts w:asciiTheme="minorHAnsi" w:hAnsiTheme="minorHAnsi"/>
          <w:sz w:val="20"/>
          <w:szCs w:val="20"/>
          <w:lang w:eastAsia="es-ES"/>
        </w:rPr>
        <w:t>4.</w:t>
      </w:r>
      <w:r w:rsidR="00DE62EB">
        <w:rPr>
          <w:rFonts w:asciiTheme="minorHAnsi" w:hAnsiTheme="minorHAnsi"/>
          <w:sz w:val="20"/>
          <w:szCs w:val="20"/>
          <w:lang w:eastAsia="es-ES"/>
        </w:rPr>
        <w:t>2.4</w:t>
      </w:r>
      <w:r>
        <w:rPr>
          <w:rFonts w:asciiTheme="minorHAnsi" w:hAnsiTheme="minorHAnsi"/>
          <w:sz w:val="20"/>
          <w:szCs w:val="20"/>
          <w:lang w:eastAsia="es-ES"/>
        </w:rPr>
        <w:t>.- Modelos liquidatorios.</w:t>
      </w:r>
    </w:p>
    <w:p w14:paraId="2DD824B4" w14:textId="77777777" w:rsidR="00563E9F" w:rsidRPr="00B25394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 w:rsidRPr="00B25394">
        <w:rPr>
          <w:rFonts w:asciiTheme="minorHAnsi" w:hAnsiTheme="minorHAnsi"/>
          <w:sz w:val="20"/>
          <w:szCs w:val="20"/>
          <w:lang w:eastAsia="es-ES"/>
        </w:rPr>
        <w:t>4.3.- Impuestos especiales:</w:t>
      </w:r>
    </w:p>
    <w:p w14:paraId="5804D326" w14:textId="77777777" w:rsidR="00734F37" w:rsidRPr="00B25394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 w:rsidRPr="00B25394">
        <w:rPr>
          <w:rFonts w:asciiTheme="minorHAnsi" w:hAnsiTheme="minorHAnsi"/>
          <w:sz w:val="20"/>
          <w:szCs w:val="20"/>
          <w:lang w:eastAsia="es-ES"/>
        </w:rPr>
        <w:tab/>
      </w:r>
      <w:r w:rsidRPr="00B25394">
        <w:rPr>
          <w:rFonts w:asciiTheme="minorHAnsi" w:hAnsiTheme="minorHAnsi"/>
          <w:sz w:val="20"/>
          <w:szCs w:val="20"/>
          <w:lang w:eastAsia="es-ES"/>
        </w:rPr>
        <w:tab/>
        <w:t>4.3.1.- Impuestos especiales con terceros países: criterio de exención.</w:t>
      </w:r>
    </w:p>
    <w:p w14:paraId="4C2536C4" w14:textId="77777777" w:rsidR="00734F37" w:rsidRPr="00B25394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 w:rsidRPr="00B25394">
        <w:rPr>
          <w:rFonts w:asciiTheme="minorHAnsi" w:hAnsiTheme="minorHAnsi"/>
          <w:sz w:val="20"/>
          <w:szCs w:val="20"/>
          <w:lang w:eastAsia="es-ES"/>
        </w:rPr>
        <w:tab/>
      </w:r>
      <w:r w:rsidRPr="00B25394">
        <w:rPr>
          <w:rFonts w:asciiTheme="minorHAnsi" w:hAnsiTheme="minorHAnsi"/>
          <w:sz w:val="20"/>
          <w:szCs w:val="20"/>
          <w:lang w:eastAsia="es-ES"/>
        </w:rPr>
        <w:tab/>
        <w:t>4.3.2.- Impuestos especiales en las operaciones intracomunitarias de bienes.</w:t>
      </w:r>
    </w:p>
    <w:p w14:paraId="4AB2CE80" w14:textId="77777777" w:rsidR="00734F37" w:rsidRPr="00B25394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 w:rsidRPr="00B25394">
        <w:rPr>
          <w:rFonts w:asciiTheme="minorHAnsi" w:hAnsiTheme="minorHAnsi"/>
          <w:sz w:val="20"/>
          <w:szCs w:val="20"/>
          <w:lang w:eastAsia="es-ES"/>
        </w:rPr>
        <w:tab/>
      </w:r>
      <w:r w:rsidRPr="00B25394">
        <w:rPr>
          <w:rFonts w:asciiTheme="minorHAnsi" w:hAnsiTheme="minorHAnsi"/>
          <w:sz w:val="20"/>
          <w:szCs w:val="20"/>
          <w:lang w:eastAsia="es-ES"/>
        </w:rPr>
        <w:tab/>
        <w:t>4.3.3.- Modelos liquidatorios y gestión de la devolución.</w:t>
      </w:r>
    </w:p>
    <w:p w14:paraId="48A8E169" w14:textId="77777777" w:rsidR="00563E9F" w:rsidRDefault="00734F37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 w:rsidRPr="00B25394">
        <w:rPr>
          <w:rFonts w:asciiTheme="minorHAnsi" w:hAnsiTheme="minorHAnsi"/>
          <w:sz w:val="20"/>
          <w:szCs w:val="20"/>
          <w:lang w:eastAsia="es-ES"/>
        </w:rPr>
        <w:lastRenderedPageBreak/>
        <w:tab/>
        <w:t>4.4.- Convenios para evitar la doble tributación internacional.</w:t>
      </w:r>
    </w:p>
    <w:p w14:paraId="11DC5BFA" w14:textId="77777777" w:rsidR="00B25394" w:rsidRDefault="00B25394" w:rsidP="00896452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</w:p>
    <w:p w14:paraId="4DC14FB3" w14:textId="77777777" w:rsidR="00B25394" w:rsidRPr="00B25394" w:rsidRDefault="00B25394" w:rsidP="00B253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 xml:space="preserve">5.- 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LOGÍSTICA </w:t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 xml:space="preserve">Y TRANSPORTE MARÍTIMO 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INTERNACIONAL:</w:t>
      </w:r>
    </w:p>
    <w:p w14:paraId="0C1B639E" w14:textId="77777777" w:rsidR="00B25394" w:rsidRPr="00B25394" w:rsidRDefault="00B25394" w:rsidP="00B253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.1.- Conceptos generales sobre el transporte.</w:t>
      </w:r>
    </w:p>
    <w:p w14:paraId="11C952DB" w14:textId="77777777" w:rsidR="00B25394" w:rsidRPr="00B25394" w:rsidRDefault="00B25394" w:rsidP="00B253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.2.- Protección física de la mercancía: envase, embalaje, manipulación, estiba y almacenaje.</w:t>
      </w:r>
    </w:p>
    <w:p w14:paraId="737C66B5" w14:textId="77777777" w:rsidR="00B25394" w:rsidRPr="00B25394" w:rsidRDefault="00B25394" w:rsidP="00B2539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5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.3.- Protección jurídica: seguro internacional de mercancías.</w:t>
      </w:r>
    </w:p>
    <w:p w14:paraId="067D3514" w14:textId="77777777" w:rsidR="00B25394" w:rsidRPr="00B25394" w:rsidRDefault="00B25394" w:rsidP="00B2539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.3.1.- Características del contrato de seguro.</w:t>
      </w:r>
    </w:p>
    <w:p w14:paraId="0C69F58B" w14:textId="77777777" w:rsidR="00B25394" w:rsidRPr="00B25394" w:rsidRDefault="00B25394" w:rsidP="00B2539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.3.2.- Análisis de las pólizas de seguro marítimo de mercancías</w:t>
      </w:r>
    </w:p>
    <w:p w14:paraId="57FD8E97" w14:textId="77777777" w:rsidR="00B25394" w:rsidRPr="00B25394" w:rsidRDefault="00B25394" w:rsidP="00B2539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.3.2.1.- Póliza española.</w:t>
      </w:r>
    </w:p>
    <w:p w14:paraId="3554206E" w14:textId="77777777" w:rsidR="00B25394" w:rsidRPr="00B25394" w:rsidRDefault="00B25394" w:rsidP="00B2539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.3.2.2.- Pólizas inglesas.</w:t>
      </w:r>
    </w:p>
    <w:p w14:paraId="776CF32D" w14:textId="77777777" w:rsidR="00B25394" w:rsidRPr="00B25394" w:rsidRDefault="00B25394" w:rsidP="00B253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.4.- Particularidades de los distintos medios de transporte.</w:t>
      </w:r>
    </w:p>
    <w:p w14:paraId="29B9EFAC" w14:textId="77777777" w:rsidR="00B25394" w:rsidRPr="00B25394" w:rsidRDefault="00B25394" w:rsidP="00B253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5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.4.1.- Estructura de las cotizaciones</w:t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 xml:space="preserve"> marítimas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.</w:t>
      </w:r>
    </w:p>
    <w:p w14:paraId="5D2C69BB" w14:textId="77777777" w:rsidR="009214F3" w:rsidRPr="009214F3" w:rsidRDefault="009214F3" w:rsidP="00026D6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0BE11962" w14:textId="77777777" w:rsidR="009214F3" w:rsidRPr="009214F3" w:rsidRDefault="00B25394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6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.- INGLÉS DEL COMERCIO INTERNACIONAL</w:t>
      </w:r>
    </w:p>
    <w:p w14:paraId="55976E09" w14:textId="77777777" w:rsidR="009214F3" w:rsidRPr="009214F3" w:rsidRDefault="00B25394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6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.1.- Qué es comercio internacional?</w:t>
      </w:r>
    </w:p>
    <w:p w14:paraId="2D653A45" w14:textId="77777777" w:rsidR="009214F3" w:rsidRPr="009214F3" w:rsidRDefault="00B25394" w:rsidP="009214F3">
      <w:pPr>
        <w:spacing w:after="0" w:line="240" w:lineRule="auto"/>
        <w:ind w:left="2127" w:hanging="711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6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.1.1.- Fases de internacionalización de una empresa.</w:t>
      </w:r>
    </w:p>
    <w:p w14:paraId="1F792B3B" w14:textId="77777777" w:rsidR="009214F3" w:rsidRPr="009214F3" w:rsidRDefault="00B25394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6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.1.2.-Servicios relacionados con el comercio exterior.</w:t>
      </w:r>
    </w:p>
    <w:p w14:paraId="067C38D3" w14:textId="77777777" w:rsidR="009214F3" w:rsidRDefault="00B25394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6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.1.3.- Organización de una empresa de comercio internacional.</w:t>
      </w:r>
    </w:p>
    <w:p w14:paraId="669CA794" w14:textId="77777777" w:rsidR="00026D6C" w:rsidRPr="009214F3" w:rsidRDefault="00B25394" w:rsidP="00026D6C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6</w:t>
      </w:r>
      <w:r w:rsidR="00026D6C">
        <w:rPr>
          <w:rFonts w:ascii="Calibri" w:eastAsia="Times New Roman" w:hAnsi="Calibri" w:cs="Times New Roman"/>
          <w:sz w:val="20"/>
          <w:szCs w:val="20"/>
          <w:lang w:eastAsia="es-ES"/>
        </w:rPr>
        <w:t>.2</w:t>
      </w:r>
      <w:r w:rsidR="00026D6C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.- Comunicación en inglés</w:t>
      </w:r>
    </w:p>
    <w:p w14:paraId="22D5CA0F" w14:textId="77777777" w:rsidR="00026D6C" w:rsidRPr="009214F3" w:rsidRDefault="00B25394" w:rsidP="00026D6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6</w:t>
      </w:r>
      <w:r w:rsidR="00026D6C">
        <w:rPr>
          <w:rFonts w:ascii="Calibri" w:eastAsia="Times New Roman" w:hAnsi="Calibri" w:cs="Times New Roman"/>
          <w:sz w:val="20"/>
          <w:szCs w:val="20"/>
          <w:lang w:eastAsia="es-ES"/>
        </w:rPr>
        <w:t>.2</w:t>
      </w:r>
      <w:r w:rsidR="00026D6C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.1.- correspondencia en inglés.</w:t>
      </w:r>
    </w:p>
    <w:p w14:paraId="7EB56D7F" w14:textId="77777777" w:rsidR="00026D6C" w:rsidRDefault="00B25394" w:rsidP="00026D6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6</w:t>
      </w:r>
      <w:r w:rsidR="00026D6C">
        <w:rPr>
          <w:rFonts w:ascii="Calibri" w:eastAsia="Times New Roman" w:hAnsi="Calibri" w:cs="Times New Roman"/>
          <w:sz w:val="20"/>
          <w:szCs w:val="20"/>
          <w:lang w:eastAsia="es-ES"/>
        </w:rPr>
        <w:t>.2</w:t>
      </w:r>
      <w:r w:rsidR="00026D6C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.2.- Comunicación telefónica.</w:t>
      </w:r>
    </w:p>
    <w:p w14:paraId="1136AF5B" w14:textId="77777777" w:rsidR="004F336B" w:rsidRDefault="004F336B" w:rsidP="004F336B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lang w:eastAsia="es-ES"/>
        </w:rPr>
        <w:tab/>
      </w:r>
      <w:r>
        <w:rPr>
          <w:lang w:eastAsia="es-ES"/>
        </w:rPr>
        <w:tab/>
      </w:r>
      <w:r w:rsidR="00B25394">
        <w:rPr>
          <w:rFonts w:asciiTheme="minorHAnsi" w:hAnsiTheme="minorHAnsi"/>
          <w:sz w:val="20"/>
          <w:szCs w:val="20"/>
          <w:lang w:eastAsia="es-ES"/>
        </w:rPr>
        <w:t>6</w:t>
      </w:r>
      <w:r>
        <w:rPr>
          <w:rFonts w:asciiTheme="minorHAnsi" w:hAnsiTheme="minorHAnsi"/>
          <w:sz w:val="20"/>
          <w:szCs w:val="20"/>
          <w:lang w:eastAsia="es-ES"/>
        </w:rPr>
        <w:t>.2.3.- N</w:t>
      </w:r>
      <w:r w:rsidR="00524353">
        <w:rPr>
          <w:rFonts w:asciiTheme="minorHAnsi" w:hAnsiTheme="minorHAnsi"/>
          <w:sz w:val="20"/>
          <w:szCs w:val="20"/>
          <w:lang w:eastAsia="es-ES"/>
        </w:rPr>
        <w:t>úmeros, cifras y fechas.</w:t>
      </w:r>
    </w:p>
    <w:p w14:paraId="79F1E03D" w14:textId="77777777" w:rsidR="00B25394" w:rsidRPr="004F336B" w:rsidRDefault="00B25394" w:rsidP="004F336B">
      <w:pPr>
        <w:pStyle w:val="Firmadecorreoelectrnico"/>
        <w:rPr>
          <w:rFonts w:asciiTheme="minorHAnsi" w:hAnsiTheme="minorHAnsi"/>
          <w:sz w:val="20"/>
          <w:szCs w:val="20"/>
          <w:lang w:eastAsia="es-ES"/>
        </w:rPr>
      </w:pPr>
      <w:r>
        <w:rPr>
          <w:rFonts w:asciiTheme="minorHAnsi" w:hAnsiTheme="minorHAnsi"/>
          <w:sz w:val="20"/>
          <w:szCs w:val="20"/>
          <w:lang w:eastAsia="es-ES"/>
        </w:rPr>
        <w:tab/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>6</w:t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>.3</w:t>
      </w:r>
      <w:r w:rsidRPr="00B2539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.- </w:t>
      </w:r>
      <w:r w:rsidR="008D56CE">
        <w:rPr>
          <w:rFonts w:ascii="Calibri" w:eastAsia="Times New Roman" w:hAnsi="Calibri" w:cs="Times New Roman"/>
          <w:sz w:val="20"/>
          <w:szCs w:val="20"/>
          <w:lang w:eastAsia="es-ES"/>
        </w:rPr>
        <w:t>Rellenar documentos de comercio internacional.</w:t>
      </w:r>
    </w:p>
    <w:p w14:paraId="4F348E7A" w14:textId="77777777" w:rsidR="00026D6C" w:rsidRDefault="00026D6C" w:rsidP="00026D6C">
      <w:pPr>
        <w:pStyle w:val="Firmadecorreoelectrnico"/>
        <w:rPr>
          <w:lang w:eastAsia="es-ES"/>
        </w:rPr>
      </w:pPr>
    </w:p>
    <w:p w14:paraId="2E4AC426" w14:textId="77777777" w:rsidR="009214F3" w:rsidRPr="009214F3" w:rsidRDefault="00B25394" w:rsidP="009214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lang w:eastAsia="es-ES"/>
        </w:rPr>
        <w:t>7</w:t>
      </w:r>
      <w:r w:rsidR="009214F3" w:rsidRPr="009214F3">
        <w:rPr>
          <w:rFonts w:ascii="Calibri" w:eastAsia="Times New Roman" w:hAnsi="Calibri" w:cs="Times New Roman"/>
          <w:sz w:val="20"/>
          <w:szCs w:val="20"/>
          <w:lang w:eastAsia="es-ES"/>
        </w:rPr>
        <w:t>.- PRINCIPALES PÁGINAS WEB</w:t>
      </w:r>
    </w:p>
    <w:p w14:paraId="0553B9E1" w14:textId="77777777" w:rsidR="00CC12F2" w:rsidRPr="00CC12F2" w:rsidRDefault="00CC12F2" w:rsidP="00CC12F2"/>
    <w:sectPr w:rsidR="00CC12F2" w:rsidRPr="00CC12F2" w:rsidSect="00147D9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F965" w14:textId="77777777" w:rsidR="007F43D8" w:rsidRDefault="007F43D8" w:rsidP="00CC12F2">
      <w:pPr>
        <w:spacing w:after="0" w:line="240" w:lineRule="auto"/>
      </w:pPr>
      <w:r>
        <w:separator/>
      </w:r>
    </w:p>
  </w:endnote>
  <w:endnote w:type="continuationSeparator" w:id="0">
    <w:p w14:paraId="15A3410F" w14:textId="77777777" w:rsidR="007F43D8" w:rsidRDefault="007F43D8" w:rsidP="00CC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AFD6" w14:textId="77777777" w:rsidR="00CC12F2" w:rsidRDefault="00CC12F2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17E70E3" wp14:editId="5ABD8490">
          <wp:simplePos x="0" y="0"/>
          <wp:positionH relativeFrom="column">
            <wp:posOffset>31115</wp:posOffset>
          </wp:positionH>
          <wp:positionV relativeFrom="paragraph">
            <wp:posOffset>60960</wp:posOffset>
          </wp:positionV>
          <wp:extent cx="2593340" cy="177800"/>
          <wp:effectExtent l="19050" t="0" r="0" b="0"/>
          <wp:wrapTight wrapText="bothSides">
            <wp:wrapPolygon edited="0">
              <wp:start x="-159" y="0"/>
              <wp:lineTo x="-159" y="18514"/>
              <wp:lineTo x="21579" y="18514"/>
              <wp:lineTo x="21579" y="0"/>
              <wp:lineTo x="-159" y="0"/>
            </wp:wrapPolygon>
          </wp:wrapTight>
          <wp:docPr id="2" name="Picture 2" descr="C:\Users\GB\Desktop\noroex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B\Desktop\noroexfoote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0D966A" w14:textId="77777777" w:rsidR="00CC12F2" w:rsidRDefault="007F43D8">
    <w:pPr>
      <w:pStyle w:val="Piedepgina"/>
      <w:jc w:val="right"/>
    </w:pPr>
    <w:sdt>
      <w:sdtPr>
        <w:id w:val="3320857"/>
        <w:docPartObj>
          <w:docPartGallery w:val="Page Numbers (Bottom of Page)"/>
          <w:docPartUnique/>
        </w:docPartObj>
      </w:sdtPr>
      <w:sdtEndPr/>
      <w:sdtContent>
        <w:r w:rsidR="00CC12F2">
          <w:t xml:space="preserve">    </w:t>
        </w:r>
        <w:r w:rsidR="00DB6DF2">
          <w:fldChar w:fldCharType="begin"/>
        </w:r>
        <w:r w:rsidR="00DB6DF2">
          <w:instrText xml:space="preserve"> PAGE   \* MERGEFORMAT </w:instrText>
        </w:r>
        <w:r w:rsidR="00DB6DF2">
          <w:fldChar w:fldCharType="separate"/>
        </w:r>
        <w:r w:rsidR="008D56CE">
          <w:rPr>
            <w:noProof/>
          </w:rPr>
          <w:t>2</w:t>
        </w:r>
        <w:r w:rsidR="00DB6DF2">
          <w:rPr>
            <w:noProof/>
          </w:rPr>
          <w:fldChar w:fldCharType="end"/>
        </w:r>
      </w:sdtContent>
    </w:sdt>
  </w:p>
  <w:p w14:paraId="185002C1" w14:textId="77777777" w:rsidR="00CC12F2" w:rsidRDefault="00CC12F2" w:rsidP="00CC12F2">
    <w:pPr>
      <w:pStyle w:val="Piedepgina"/>
      <w:tabs>
        <w:tab w:val="clear" w:pos="850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89F7" w14:textId="77777777" w:rsidR="007F43D8" w:rsidRDefault="007F43D8" w:rsidP="00CC12F2">
      <w:pPr>
        <w:spacing w:after="0" w:line="240" w:lineRule="auto"/>
      </w:pPr>
      <w:r>
        <w:separator/>
      </w:r>
    </w:p>
  </w:footnote>
  <w:footnote w:type="continuationSeparator" w:id="0">
    <w:p w14:paraId="2F9CA4AD" w14:textId="77777777" w:rsidR="007F43D8" w:rsidRDefault="007F43D8" w:rsidP="00CC1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F3"/>
    <w:rsid w:val="00026D6C"/>
    <w:rsid w:val="000B35B6"/>
    <w:rsid w:val="000B5217"/>
    <w:rsid w:val="00124B75"/>
    <w:rsid w:val="00147D9C"/>
    <w:rsid w:val="00217654"/>
    <w:rsid w:val="002E6A93"/>
    <w:rsid w:val="002E7A75"/>
    <w:rsid w:val="003836BA"/>
    <w:rsid w:val="004C17DF"/>
    <w:rsid w:val="004F336B"/>
    <w:rsid w:val="00524353"/>
    <w:rsid w:val="00563E9F"/>
    <w:rsid w:val="006262BF"/>
    <w:rsid w:val="006A1D0A"/>
    <w:rsid w:val="00734F37"/>
    <w:rsid w:val="00765041"/>
    <w:rsid w:val="00797804"/>
    <w:rsid w:val="007F43D8"/>
    <w:rsid w:val="00896452"/>
    <w:rsid w:val="008C24D1"/>
    <w:rsid w:val="008D56CE"/>
    <w:rsid w:val="009214F3"/>
    <w:rsid w:val="00951CFB"/>
    <w:rsid w:val="009C49B1"/>
    <w:rsid w:val="00A55EC3"/>
    <w:rsid w:val="00B25394"/>
    <w:rsid w:val="00B964A1"/>
    <w:rsid w:val="00C927E2"/>
    <w:rsid w:val="00CC12F2"/>
    <w:rsid w:val="00CF2DA5"/>
    <w:rsid w:val="00D13B76"/>
    <w:rsid w:val="00DB6DF2"/>
    <w:rsid w:val="00DE62EB"/>
    <w:rsid w:val="00DE7248"/>
    <w:rsid w:val="00EA2008"/>
    <w:rsid w:val="00F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91855"/>
  <w15:docId w15:val="{A0AB96C5-6580-4684-97F7-35D314BC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Firmadecorreoelectrnico"/>
    <w:qFormat/>
    <w:rsid w:val="00CC12F2"/>
    <w:pPr>
      <w:jc w:val="both"/>
    </w:pPr>
    <w:rPr>
      <w:rFonts w:ascii="Raleway Light" w:hAnsi="Raleway Light"/>
      <w:sz w:val="16"/>
    </w:rPr>
  </w:style>
  <w:style w:type="paragraph" w:styleId="Ttulo1">
    <w:name w:val="heading 1"/>
    <w:basedOn w:val="Normal"/>
    <w:next w:val="Normal"/>
    <w:link w:val="Ttulo1Car"/>
    <w:uiPriority w:val="9"/>
    <w:qFormat/>
    <w:rsid w:val="00CC12F2"/>
    <w:pPr>
      <w:keepNext/>
      <w:keepLines/>
      <w:spacing w:before="600" w:after="840"/>
      <w:outlineLvl w:val="0"/>
    </w:pPr>
    <w:rPr>
      <w:rFonts w:ascii="Raleway SemiBold" w:eastAsiaTheme="majorEastAsia" w:hAnsi="Raleway SemiBold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2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C12F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C12F2"/>
  </w:style>
  <w:style w:type="paragraph" w:styleId="Sinespaciado">
    <w:name w:val="No Spacing"/>
    <w:uiPriority w:val="1"/>
    <w:qFormat/>
    <w:rsid w:val="00CC12F2"/>
    <w:pPr>
      <w:keepLines/>
      <w:spacing w:after="0" w:line="240" w:lineRule="auto"/>
      <w:jc w:val="both"/>
    </w:pPr>
    <w:rPr>
      <w:rFonts w:ascii="Raleway Light" w:hAnsi="Raleway Light"/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CC12F2"/>
    <w:rPr>
      <w:rFonts w:ascii="Raleway SemiBold" w:eastAsiaTheme="majorEastAsia" w:hAnsi="Raleway SemiBold" w:cstheme="maj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CC1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12F2"/>
    <w:rPr>
      <w:rFonts w:ascii="Raleway Light" w:hAnsi="Raleway Light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CC1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2F2"/>
    <w:rPr>
      <w:rFonts w:ascii="Raleway Light" w:hAnsi="Raleway Light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2F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F2"/>
    <w:rPr>
      <w:rFonts w:ascii="Tahoma" w:hAnsi="Tahoma" w:cs="Tahoma"/>
      <w:sz w:val="16"/>
      <w:szCs w:val="16"/>
    </w:rPr>
  </w:style>
  <w:style w:type="character" w:customStyle="1" w:styleId="textegris1">
    <w:name w:val="texte_gris1"/>
    <w:basedOn w:val="Fuentedeprrafopredeter"/>
    <w:rsid w:val="00896452"/>
    <w:rPr>
      <w:rFonts w:ascii="Verdana" w:hAnsi="Verdana" w:hint="default"/>
      <w:strike w:val="0"/>
      <w:dstrike w:val="0"/>
      <w:color w:val="787878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NOROEX%20Plantilla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7541-9A19-4674-B528-DDC69242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NOROEX Plantilla (9)</Template>
  <TotalTime>4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DIAZ BECERRA MARTINEZ</cp:lastModifiedBy>
  <cp:revision>3</cp:revision>
  <cp:lastPrinted>2016-07-21T12:35:00Z</cp:lastPrinted>
  <dcterms:created xsi:type="dcterms:W3CDTF">2019-10-03T17:44:00Z</dcterms:created>
  <dcterms:modified xsi:type="dcterms:W3CDTF">2019-10-03T17:47:00Z</dcterms:modified>
</cp:coreProperties>
</file>